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5" w:rsidRDefault="009B4125" w:rsidP="009B4125">
      <w:pPr>
        <w:spacing w:after="0"/>
      </w:pPr>
      <w:r>
        <w:t>Изменения от 28.10.2016 г. в</w:t>
      </w:r>
      <w:bookmarkStart w:id="0" w:name="_GoBack"/>
      <w:bookmarkEnd w:id="0"/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ПРОЕКТНУЮ ДЕКЛАРАЦИЮ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по строительству жилого комплекса с нежилыми помещениями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по ул. Березовая в </w:t>
      </w:r>
      <w:proofErr w:type="spellStart"/>
      <w:r>
        <w:t>г.Рыбное</w:t>
      </w:r>
      <w:proofErr w:type="spellEnd"/>
      <w:r>
        <w:t xml:space="preserve"> </w:t>
      </w:r>
      <w:proofErr w:type="spellStart"/>
      <w:r>
        <w:t>Рыбновского</w:t>
      </w:r>
      <w:proofErr w:type="spellEnd"/>
      <w:r>
        <w:t xml:space="preserve"> района Рязанской области.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Жилой дом № 1.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(утвержденную Приказом № 1 от 25.08.2014 г.,), размещенную на сайте www.nov62.ru 25.08.2014 г.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Этапы и срок реализации строительства.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Строительство планируется осуществить в два этапа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 (1 этап – секции 1В, 1Г) (2 этап – секции 1А, 1Б):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 - Начало строительства –  август 2014 года.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 - Срок завершения проекта (срок передачи) – до 28 февраля 2017 года.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Предполагаемый срок получения разрешения на ввод дома в эксплуатацию: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28 февраля 2017 года – согласно Разрешения на строительство № RU62513000-229/14, выданного Администрацией муниципального образования – </w:t>
      </w:r>
      <w:proofErr w:type="spellStart"/>
      <w:r>
        <w:t>Рыбновского</w:t>
      </w:r>
      <w:proofErr w:type="spellEnd"/>
      <w:r>
        <w:t xml:space="preserve"> муниципального района Рязанской области 21.08.2014 года;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1 этап - IV квартал 2015 года – согласно планируемого Застройщиком срока получения Разрешения на ввод объекта в эксплуатацию;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2 этап – 28 февраля 2017 года – согласно планируемого Застройщиком срока получения Разрешения на ввод объекта в эксплуатацию.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Финансовый результат текущего года, кредиторская и дебиторская задолженности.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Финансовый результат на день опубликования составил: 626 тыс. рублей (без прибыли и убытков);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 xml:space="preserve">Размер кредиторской задолженности – </w:t>
      </w:r>
      <w:proofErr w:type="gramStart"/>
      <w:r>
        <w:t>7280  тыс.</w:t>
      </w:r>
      <w:proofErr w:type="gramEnd"/>
      <w:r>
        <w:t xml:space="preserve"> рублей.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Размер дебиторской задолженности – 20767 тыс. рублей.</w:t>
      </w:r>
    </w:p>
    <w:p w:rsidR="009B4125" w:rsidRDefault="009B4125" w:rsidP="009B4125">
      <w:pPr>
        <w:spacing w:after="0"/>
      </w:pPr>
    </w:p>
    <w:p w:rsidR="009B4125" w:rsidRDefault="009B4125" w:rsidP="009B4125">
      <w:pPr>
        <w:spacing w:after="0"/>
      </w:pPr>
      <w:r>
        <w:t>Данные изменения размещены на сайте: www.nov62.ru</w:t>
      </w:r>
    </w:p>
    <w:p w:rsidR="009B4125" w:rsidRDefault="009B4125" w:rsidP="009B4125">
      <w:pPr>
        <w:spacing w:after="0"/>
      </w:pPr>
    </w:p>
    <w:p w:rsidR="00E92F36" w:rsidRDefault="009B4125" w:rsidP="009B4125">
      <w:pPr>
        <w:spacing w:after="0"/>
      </w:pPr>
      <w:r>
        <w:t>Дата размещения изменений: 28.10.2016 г.</w:t>
      </w:r>
    </w:p>
    <w:sectPr w:rsidR="00E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5"/>
    <w:rsid w:val="009B4125"/>
    <w:rsid w:val="00E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67D0-A374-4BE0-A520-D4CB755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2017-06-27T23:50:00Z</dcterms:created>
  <dcterms:modified xsi:type="dcterms:W3CDTF">2017-06-27T23:51:00Z</dcterms:modified>
</cp:coreProperties>
</file>